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9C10" w14:textId="77777777" w:rsidR="00CA0742" w:rsidRPr="00516A53" w:rsidRDefault="00CA0742" w:rsidP="007272DC">
      <w:pPr>
        <w:spacing w:line="360" w:lineRule="auto"/>
        <w:jc w:val="center"/>
        <w:rPr>
          <w:rFonts w:ascii="Times New Roman" w:hAnsi="Times New Roman" w:cs="Times New Roman"/>
          <w:b/>
          <w:bCs/>
          <w:sz w:val="24"/>
          <w:szCs w:val="24"/>
        </w:rPr>
      </w:pPr>
      <w:r w:rsidRPr="00516A53">
        <w:rPr>
          <w:rFonts w:ascii="Times New Roman" w:hAnsi="Times New Roman" w:cs="Times New Roman"/>
          <w:b/>
          <w:bCs/>
          <w:sz w:val="24"/>
          <w:szCs w:val="24"/>
        </w:rPr>
        <w:t>ASEAN CENTRAL BANKS’ AGENDA ON SUSTAINABLE BANKING</w:t>
      </w:r>
      <w:r w:rsidR="00E51763" w:rsidRPr="00516A53">
        <w:rPr>
          <w:rStyle w:val="FootnoteReference"/>
          <w:rFonts w:ascii="Times New Roman" w:hAnsi="Times New Roman" w:cs="Times New Roman"/>
          <w:b/>
          <w:bCs/>
          <w:sz w:val="24"/>
          <w:szCs w:val="24"/>
        </w:rPr>
        <w:footnoteReference w:id="1"/>
      </w:r>
    </w:p>
    <w:p w14:paraId="39A01B27" w14:textId="77777777" w:rsidR="003D5F74" w:rsidRDefault="003D5F74" w:rsidP="00CA0742">
      <w:pPr>
        <w:spacing w:line="360" w:lineRule="auto"/>
        <w:jc w:val="thaiDistribute"/>
        <w:rPr>
          <w:rFonts w:ascii="Times New Roman" w:hAnsi="Times New Roman" w:cs="Times New Roman"/>
          <w:sz w:val="24"/>
          <w:szCs w:val="24"/>
        </w:rPr>
      </w:pPr>
    </w:p>
    <w:p w14:paraId="2634F5EB" w14:textId="1264A1CE" w:rsidR="00CA0742" w:rsidRPr="00516A53" w:rsidRDefault="00CA0742" w:rsidP="00CA0742">
      <w:pPr>
        <w:spacing w:line="360" w:lineRule="auto"/>
        <w:jc w:val="thaiDistribute"/>
        <w:rPr>
          <w:rFonts w:ascii="Times New Roman" w:hAnsi="Times New Roman" w:cs="Times New Roman"/>
          <w:sz w:val="24"/>
          <w:szCs w:val="24"/>
        </w:rPr>
      </w:pPr>
      <w:r w:rsidRPr="00516A53">
        <w:rPr>
          <w:rFonts w:ascii="Times New Roman" w:hAnsi="Times New Roman" w:cs="Times New Roman"/>
          <w:sz w:val="24"/>
          <w:szCs w:val="24"/>
        </w:rPr>
        <w:t xml:space="preserve">Acknowledging that climate and environment-related risks are sources of financial risks that need to be managed, </w:t>
      </w:r>
      <w:r w:rsidRPr="00516A53">
        <w:rPr>
          <w:rFonts w:ascii="Times New Roman" w:hAnsi="Times New Roman" w:cs="Times New Roman"/>
          <w:b/>
          <w:bCs/>
          <w:sz w:val="24"/>
          <w:szCs w:val="24"/>
        </w:rPr>
        <w:t>ASEAN central banks and monetary authorities have worked together to develop the “ASEAN Central Banks’ Agenda on Sustainable Banking”</w:t>
      </w:r>
      <w:r w:rsidRPr="00516A53">
        <w:rPr>
          <w:rFonts w:ascii="Times New Roman" w:hAnsi="Times New Roman" w:cs="Times New Roman"/>
          <w:sz w:val="24"/>
          <w:szCs w:val="24"/>
        </w:rPr>
        <w:t>, in line with the key recommendations</w:t>
      </w:r>
      <w:r w:rsidR="00EF3F58" w:rsidRPr="00516A53">
        <w:rPr>
          <w:rStyle w:val="FootnoteReference"/>
          <w:rFonts w:ascii="Times New Roman" w:hAnsi="Times New Roman" w:cs="Times New Roman"/>
          <w:sz w:val="24"/>
          <w:szCs w:val="24"/>
        </w:rPr>
        <w:footnoteReference w:id="2"/>
      </w:r>
      <w:r w:rsidR="00EF3F58" w:rsidRPr="00516A53">
        <w:rPr>
          <w:rFonts w:ascii="Times New Roman" w:hAnsi="Times New Roman" w:cs="Times New Roman"/>
          <w:sz w:val="24"/>
          <w:szCs w:val="24"/>
        </w:rPr>
        <w:t xml:space="preserve"> from the R</w:t>
      </w:r>
      <w:r w:rsidRPr="00516A53">
        <w:rPr>
          <w:rFonts w:ascii="Times New Roman" w:hAnsi="Times New Roman" w:cs="Times New Roman"/>
          <w:sz w:val="24"/>
          <w:szCs w:val="24"/>
        </w:rPr>
        <w:t xml:space="preserve">eport of the Task Force on the Roles of ASEAN Central Banks in Managing Climate and Environment-related Risks. The Agenda proposes </w:t>
      </w:r>
      <w:r w:rsidR="00A07235" w:rsidRPr="00516A53">
        <w:rPr>
          <w:rFonts w:ascii="Times New Roman" w:hAnsi="Times New Roman" w:cs="Times New Roman"/>
          <w:color w:val="000000" w:themeColor="text1"/>
          <w:sz w:val="24"/>
          <w:szCs w:val="24"/>
        </w:rPr>
        <w:t>seven</w:t>
      </w:r>
      <w:r w:rsidRPr="00516A53">
        <w:rPr>
          <w:rFonts w:ascii="Times New Roman" w:hAnsi="Times New Roman" w:cs="Times New Roman"/>
          <w:sz w:val="24"/>
          <w:szCs w:val="24"/>
        </w:rPr>
        <w:t xml:space="preserve"> key recommendations that ASEAN central banks/monetary authorities could consider in driving sustainable central b</w:t>
      </w:r>
      <w:r w:rsidR="00012690" w:rsidRPr="00516A53">
        <w:rPr>
          <w:rFonts w:ascii="Times New Roman" w:hAnsi="Times New Roman" w:cs="Times New Roman"/>
          <w:sz w:val="24"/>
          <w:szCs w:val="24"/>
        </w:rPr>
        <w:t xml:space="preserve">anking practices, </w:t>
      </w:r>
      <w:r w:rsidR="00AA7C6A" w:rsidRPr="00516A53">
        <w:rPr>
          <w:rFonts w:ascii="Times New Roman" w:hAnsi="Times New Roman" w:cs="Times New Roman"/>
          <w:sz w:val="24"/>
          <w:szCs w:val="24"/>
        </w:rPr>
        <w:t xml:space="preserve">in accordance </w:t>
      </w:r>
      <w:r w:rsidR="00012690" w:rsidRPr="00516A53">
        <w:rPr>
          <w:rFonts w:ascii="Times New Roman" w:hAnsi="Times New Roman" w:cs="Times New Roman"/>
          <w:sz w:val="24"/>
          <w:szCs w:val="24"/>
        </w:rPr>
        <w:t>with their</w:t>
      </w:r>
      <w:r w:rsidRPr="00516A53">
        <w:rPr>
          <w:rFonts w:ascii="Times New Roman" w:hAnsi="Times New Roman" w:cs="Times New Roman"/>
          <w:sz w:val="24"/>
          <w:szCs w:val="24"/>
        </w:rPr>
        <w:t xml:space="preserve"> </w:t>
      </w:r>
      <w:r w:rsidR="00AA7C6A" w:rsidRPr="00516A53">
        <w:rPr>
          <w:rFonts w:ascii="Times New Roman" w:hAnsi="Times New Roman" w:cs="Times New Roman"/>
          <w:sz w:val="24"/>
          <w:szCs w:val="24"/>
        </w:rPr>
        <w:t xml:space="preserve">respective </w:t>
      </w:r>
      <w:r w:rsidRPr="00516A53">
        <w:rPr>
          <w:rFonts w:ascii="Times New Roman" w:hAnsi="Times New Roman" w:cs="Times New Roman"/>
          <w:sz w:val="24"/>
          <w:szCs w:val="24"/>
        </w:rPr>
        <w:t>mandate</w:t>
      </w:r>
      <w:r w:rsidR="00012690" w:rsidRPr="00516A53">
        <w:rPr>
          <w:rFonts w:ascii="Times New Roman" w:hAnsi="Times New Roman" w:cs="Times New Roman"/>
          <w:sz w:val="24"/>
          <w:szCs w:val="24"/>
        </w:rPr>
        <w:t>s</w:t>
      </w:r>
      <w:r w:rsidRPr="00516A53">
        <w:rPr>
          <w:rFonts w:ascii="Times New Roman" w:hAnsi="Times New Roman" w:cs="Times New Roman"/>
          <w:sz w:val="24"/>
          <w:szCs w:val="24"/>
        </w:rPr>
        <w:t xml:space="preserve">, with an emphasis on climate and environmental considerations. The recommendations </w:t>
      </w:r>
      <w:r w:rsidR="00D17FFD" w:rsidRPr="00516A53">
        <w:rPr>
          <w:rFonts w:ascii="Times New Roman" w:hAnsi="Times New Roman" w:cs="Angsana New"/>
          <w:sz w:val="24"/>
          <w:szCs w:val="30"/>
        </w:rPr>
        <w:t xml:space="preserve">include </w:t>
      </w:r>
      <w:r w:rsidR="00D17FFD" w:rsidRPr="00516A53">
        <w:rPr>
          <w:rFonts w:ascii="Times New Roman" w:hAnsi="Times New Roman" w:cs="Times New Roman"/>
          <w:sz w:val="24"/>
          <w:szCs w:val="24"/>
        </w:rPr>
        <w:t xml:space="preserve">(i) </w:t>
      </w:r>
      <w:r w:rsidR="005F12FC" w:rsidRPr="00516A53">
        <w:rPr>
          <w:rFonts w:ascii="Times New Roman" w:hAnsi="Times New Roman" w:cs="Times New Roman"/>
          <w:sz w:val="24"/>
          <w:szCs w:val="24"/>
        </w:rPr>
        <w:t>c</w:t>
      </w:r>
      <w:r w:rsidRPr="00516A53">
        <w:rPr>
          <w:rFonts w:ascii="Times New Roman" w:hAnsi="Times New Roman" w:cs="Times New Roman"/>
          <w:sz w:val="24"/>
          <w:szCs w:val="24"/>
        </w:rPr>
        <w:t>lear communication strategy</w:t>
      </w:r>
      <w:r w:rsidR="00D17FFD" w:rsidRPr="00516A53">
        <w:rPr>
          <w:rFonts w:ascii="Times New Roman" w:hAnsi="Times New Roman" w:cs="Times New Roman"/>
          <w:sz w:val="24"/>
          <w:szCs w:val="24"/>
        </w:rPr>
        <w:t xml:space="preserve">, </w:t>
      </w:r>
      <w:r w:rsidRPr="00516A53">
        <w:rPr>
          <w:rFonts w:ascii="Times New Roman" w:hAnsi="Times New Roman" w:cs="Times New Roman"/>
          <w:sz w:val="24"/>
          <w:szCs w:val="24"/>
        </w:rPr>
        <w:t>(ii) central bank leadership</w:t>
      </w:r>
      <w:r w:rsidR="00D17FFD" w:rsidRPr="00516A53">
        <w:rPr>
          <w:rFonts w:ascii="Times New Roman" w:hAnsi="Times New Roman" w:cs="Times New Roman"/>
          <w:sz w:val="24"/>
          <w:szCs w:val="24"/>
        </w:rPr>
        <w:t xml:space="preserve">, (iii) </w:t>
      </w:r>
      <w:r w:rsidRPr="00516A53">
        <w:rPr>
          <w:rFonts w:ascii="Times New Roman" w:hAnsi="Times New Roman" w:cs="Times New Roman"/>
          <w:sz w:val="24"/>
          <w:szCs w:val="24"/>
        </w:rPr>
        <w:t>development of ASEAN Green Map</w:t>
      </w:r>
      <w:r w:rsidR="00D17FFD" w:rsidRPr="00516A53">
        <w:rPr>
          <w:rFonts w:ascii="Times New Roman" w:hAnsi="Times New Roman" w:cs="Times New Roman"/>
          <w:sz w:val="24"/>
          <w:szCs w:val="24"/>
        </w:rPr>
        <w:t>,</w:t>
      </w:r>
      <w:r w:rsidRPr="00516A53">
        <w:rPr>
          <w:rFonts w:ascii="Times New Roman" w:hAnsi="Times New Roman" w:cs="Times New Roman"/>
          <w:sz w:val="24"/>
          <w:szCs w:val="24"/>
        </w:rPr>
        <w:t xml:space="preserve"> </w:t>
      </w:r>
      <w:r w:rsidR="00480ED1" w:rsidRPr="00516A53">
        <w:rPr>
          <w:rFonts w:ascii="Times New Roman" w:hAnsi="Times New Roman" w:cs="Times New Roman"/>
          <w:sz w:val="24"/>
          <w:szCs w:val="24"/>
          <w:lang w:val="en-US"/>
        </w:rPr>
        <w:t>(</w:t>
      </w:r>
      <w:r w:rsidR="00D17FFD" w:rsidRPr="00516A53">
        <w:rPr>
          <w:rFonts w:ascii="Times New Roman" w:hAnsi="Times New Roman" w:cs="Times New Roman"/>
          <w:sz w:val="24"/>
          <w:szCs w:val="24"/>
          <w:lang w:val="en-US"/>
        </w:rPr>
        <w:t>iv</w:t>
      </w:r>
      <w:r w:rsidR="00480ED1" w:rsidRPr="00516A53">
        <w:rPr>
          <w:rFonts w:ascii="Times New Roman" w:hAnsi="Times New Roman" w:cs="Times New Roman"/>
          <w:sz w:val="24"/>
          <w:szCs w:val="24"/>
          <w:lang w:val="en-US"/>
        </w:rPr>
        <w:t>)</w:t>
      </w:r>
      <w:r w:rsidR="00050D42" w:rsidRPr="00516A53">
        <w:rPr>
          <w:rFonts w:eastAsiaTheme="minorEastAsia" w:cstheme="minorHAnsi"/>
          <w:szCs w:val="22"/>
          <w:lang w:val="en-US" w:eastAsia="zh-CN" w:bidi="ar-SA"/>
        </w:rPr>
        <w:t xml:space="preserve"> </w:t>
      </w:r>
      <w:r w:rsidR="00050D42" w:rsidRPr="00516A53">
        <w:rPr>
          <w:rFonts w:ascii="Times New Roman" w:hAnsi="Times New Roman" w:cs="Times New Roman"/>
          <w:sz w:val="24"/>
          <w:szCs w:val="24"/>
          <w:lang w:val="en-US"/>
        </w:rPr>
        <w:t>communication of ASEAN common interests and unique circumstances where appropriate</w:t>
      </w:r>
      <w:r w:rsidR="00D17FFD" w:rsidRPr="00516A53">
        <w:rPr>
          <w:rFonts w:ascii="Times New Roman" w:hAnsi="Times New Roman" w:cs="Times New Roman"/>
          <w:sz w:val="24"/>
          <w:szCs w:val="24"/>
          <w:lang w:val="en-US"/>
        </w:rPr>
        <w:t>,</w:t>
      </w:r>
      <w:r w:rsidR="00480ED1" w:rsidRPr="00516A53">
        <w:rPr>
          <w:rFonts w:ascii="Times New Roman" w:hAnsi="Times New Roman" w:cs="Times New Roman"/>
          <w:sz w:val="24"/>
          <w:szCs w:val="24"/>
          <w:lang w:val="en-US"/>
        </w:rPr>
        <w:t xml:space="preserve"> </w:t>
      </w:r>
      <w:r w:rsidRPr="00516A53">
        <w:rPr>
          <w:rFonts w:ascii="Times New Roman" w:hAnsi="Times New Roman" w:cs="Times New Roman"/>
          <w:sz w:val="24"/>
          <w:szCs w:val="24"/>
        </w:rPr>
        <w:t>(</w:t>
      </w:r>
      <w:r w:rsidR="00D17FFD" w:rsidRPr="00516A53">
        <w:rPr>
          <w:rFonts w:ascii="Times New Roman" w:hAnsi="Times New Roman" w:cs="Times New Roman"/>
          <w:sz w:val="24"/>
          <w:szCs w:val="24"/>
        </w:rPr>
        <w:t>v</w:t>
      </w:r>
      <w:r w:rsidRPr="00516A53">
        <w:rPr>
          <w:rFonts w:ascii="Times New Roman" w:hAnsi="Times New Roman" w:cs="Times New Roman"/>
          <w:sz w:val="24"/>
          <w:szCs w:val="24"/>
        </w:rPr>
        <w:t>) framework to encourage banks to embed sustainability in</w:t>
      </w:r>
      <w:r w:rsidR="00480ED1" w:rsidRPr="00516A53">
        <w:rPr>
          <w:rFonts w:ascii="Times New Roman" w:hAnsi="Times New Roman" w:cs="Times New Roman"/>
          <w:sz w:val="24"/>
          <w:szCs w:val="24"/>
        </w:rPr>
        <w:t>to their business practices</w:t>
      </w:r>
      <w:r w:rsidR="00D17FFD" w:rsidRPr="00516A53">
        <w:rPr>
          <w:rFonts w:ascii="Times New Roman" w:hAnsi="Times New Roman" w:cs="Times New Roman"/>
          <w:sz w:val="24"/>
          <w:szCs w:val="24"/>
        </w:rPr>
        <w:t>,</w:t>
      </w:r>
      <w:r w:rsidR="00480ED1" w:rsidRPr="00516A53">
        <w:rPr>
          <w:rFonts w:ascii="Times New Roman" w:hAnsi="Times New Roman" w:cs="Times New Roman"/>
          <w:sz w:val="24"/>
          <w:szCs w:val="24"/>
        </w:rPr>
        <w:t xml:space="preserve"> (v</w:t>
      </w:r>
      <w:r w:rsidR="00D17FFD" w:rsidRPr="00516A53">
        <w:rPr>
          <w:rFonts w:ascii="Times New Roman" w:hAnsi="Times New Roman" w:cs="Times New Roman"/>
          <w:sz w:val="24"/>
          <w:szCs w:val="24"/>
        </w:rPr>
        <w:t>i</w:t>
      </w:r>
      <w:r w:rsidRPr="00516A53">
        <w:rPr>
          <w:rFonts w:ascii="Times New Roman" w:hAnsi="Times New Roman" w:cs="Times New Roman"/>
          <w:sz w:val="24"/>
          <w:szCs w:val="24"/>
        </w:rPr>
        <w:t xml:space="preserve">) feasibility study of a common </w:t>
      </w:r>
      <w:r w:rsidR="00480ED1" w:rsidRPr="00516A53">
        <w:rPr>
          <w:rFonts w:ascii="Times New Roman" w:hAnsi="Times New Roman" w:cs="Times New Roman"/>
          <w:sz w:val="24"/>
          <w:szCs w:val="24"/>
        </w:rPr>
        <w:t>data collection framework and (</w:t>
      </w:r>
      <w:r w:rsidRPr="00516A53">
        <w:rPr>
          <w:rFonts w:ascii="Times New Roman" w:hAnsi="Times New Roman" w:cs="Times New Roman"/>
          <w:sz w:val="24"/>
          <w:szCs w:val="24"/>
        </w:rPr>
        <w:t>v</w:t>
      </w:r>
      <w:r w:rsidR="00D17FFD" w:rsidRPr="00516A53">
        <w:rPr>
          <w:rFonts w:ascii="Times New Roman" w:hAnsi="Times New Roman" w:cs="Times New Roman"/>
          <w:sz w:val="24"/>
          <w:szCs w:val="24"/>
        </w:rPr>
        <w:t>ii</w:t>
      </w:r>
      <w:r w:rsidRPr="00516A53">
        <w:rPr>
          <w:rFonts w:ascii="Times New Roman" w:hAnsi="Times New Roman" w:cs="Times New Roman"/>
          <w:sz w:val="24"/>
          <w:szCs w:val="24"/>
        </w:rPr>
        <w:t>) capacity building. The details are as follows:</w:t>
      </w:r>
    </w:p>
    <w:p w14:paraId="58CB059F" w14:textId="37B5BE8D" w:rsidR="00CA0742" w:rsidRPr="00516A53" w:rsidRDefault="00CA0742" w:rsidP="00CA0742">
      <w:pPr>
        <w:spacing w:line="360" w:lineRule="auto"/>
        <w:jc w:val="thaiDistribute"/>
        <w:rPr>
          <w:rFonts w:ascii="Times New Roman" w:hAnsi="Times New Roman"/>
          <w:sz w:val="24"/>
          <w:szCs w:val="24"/>
          <w:cs/>
        </w:rPr>
      </w:pPr>
      <w:bookmarkStart w:id="0" w:name="_GoBack"/>
      <w:bookmarkEnd w:id="0"/>
    </w:p>
    <w:p w14:paraId="7FA38903" w14:textId="710BCDE3" w:rsidR="00CA0742" w:rsidRPr="00516A53" w:rsidRDefault="00CA0742" w:rsidP="00CA0742">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t>Demonstrate commitment and policy direction in shaping the sustainable banking ecosystem to foster the adoption of sustainable banking practices.</w:t>
      </w:r>
      <w:r w:rsidRPr="00516A53">
        <w:rPr>
          <w:rFonts w:ascii="Times New Roman" w:hAnsi="Times New Roman" w:cs="Times New Roman"/>
          <w:sz w:val="24"/>
          <w:szCs w:val="24"/>
        </w:rPr>
        <w:t xml:space="preserve"> Central banks and/or monetary authorities may develop a clear communication </w:t>
      </w:r>
      <w:r w:rsidR="00837D08" w:rsidRPr="00516A53">
        <w:rPr>
          <w:rFonts w:ascii="Times New Roman" w:hAnsi="Times New Roman" w:cs="Times New Roman"/>
          <w:sz w:val="24"/>
          <w:szCs w:val="24"/>
        </w:rPr>
        <w:t xml:space="preserve">strategy </w:t>
      </w:r>
      <w:r w:rsidRPr="00516A53">
        <w:rPr>
          <w:rFonts w:ascii="Times New Roman" w:hAnsi="Times New Roman" w:cs="Times New Roman"/>
          <w:sz w:val="24"/>
          <w:szCs w:val="24"/>
        </w:rPr>
        <w:t xml:space="preserve">that reflects their policies on sustainable banking and their roles in managing climate and environment-related risks to convey commitment and align industry expectations towards greening the banking system.  </w:t>
      </w:r>
    </w:p>
    <w:p w14:paraId="3FCC39A4" w14:textId="25AA8FC3" w:rsidR="00CA0742" w:rsidRDefault="00CA0742" w:rsidP="00CA0742">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t>Take leadership by integrating sustainability practices into central banks and/or monetary authorities’ strategies and operations.</w:t>
      </w:r>
      <w:r w:rsidRPr="00516A53">
        <w:rPr>
          <w:rFonts w:ascii="Times New Roman" w:hAnsi="Times New Roman" w:cs="Times New Roman"/>
          <w:sz w:val="24"/>
          <w:szCs w:val="24"/>
        </w:rPr>
        <w:t xml:space="preserve"> Central banks and/or monetary authorities may demonstrate firm commitment through their strategies and lead by example, through operational activities such as in currency</w:t>
      </w:r>
      <w:r w:rsidR="00D212FE" w:rsidRPr="00516A53">
        <w:rPr>
          <w:rFonts w:ascii="Times New Roman" w:hAnsi="Times New Roman" w:hint="cs"/>
          <w:sz w:val="24"/>
          <w:szCs w:val="24"/>
          <w:cs/>
        </w:rPr>
        <w:t xml:space="preserve"> </w:t>
      </w:r>
      <w:r w:rsidR="00D212FE" w:rsidRPr="00516A53">
        <w:rPr>
          <w:rFonts w:ascii="Times New Roman" w:hAnsi="Times New Roman"/>
          <w:sz w:val="24"/>
          <w:szCs w:val="24"/>
          <w:lang w:val="en-US"/>
        </w:rPr>
        <w:t>issuance</w:t>
      </w:r>
      <w:r w:rsidRPr="00516A53">
        <w:rPr>
          <w:rFonts w:ascii="Times New Roman" w:hAnsi="Times New Roman" w:cs="Times New Roman"/>
          <w:sz w:val="24"/>
          <w:szCs w:val="24"/>
        </w:rPr>
        <w:t xml:space="preserve">, reserve management and asset management. </w:t>
      </w:r>
    </w:p>
    <w:p w14:paraId="1B59EB75" w14:textId="0E1C2E17" w:rsidR="003D5F74" w:rsidRDefault="003D5F74" w:rsidP="003D5F74">
      <w:pPr>
        <w:spacing w:line="360" w:lineRule="auto"/>
        <w:jc w:val="thaiDistribute"/>
        <w:rPr>
          <w:rFonts w:ascii="Times New Roman" w:hAnsi="Times New Roman" w:cs="Times New Roman"/>
          <w:sz w:val="24"/>
          <w:szCs w:val="24"/>
        </w:rPr>
      </w:pPr>
    </w:p>
    <w:p w14:paraId="6A20D95B" w14:textId="77777777" w:rsidR="003D5F74" w:rsidRPr="003D5F74" w:rsidRDefault="003D5F74" w:rsidP="003D5F74">
      <w:pPr>
        <w:spacing w:line="360" w:lineRule="auto"/>
        <w:jc w:val="thaiDistribute"/>
        <w:rPr>
          <w:rFonts w:ascii="Times New Roman" w:hAnsi="Times New Roman" w:cs="Times New Roman"/>
          <w:sz w:val="24"/>
          <w:szCs w:val="24"/>
        </w:rPr>
      </w:pPr>
    </w:p>
    <w:p w14:paraId="3499FA9B" w14:textId="3936F9AB" w:rsidR="00CA0742" w:rsidRPr="00516A53" w:rsidRDefault="00CA0742" w:rsidP="00012690">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lastRenderedPageBreak/>
        <w:t xml:space="preserve">Formulate policy </w:t>
      </w:r>
      <w:r w:rsidR="00012690" w:rsidRPr="00516A53">
        <w:rPr>
          <w:rFonts w:ascii="Times New Roman" w:hAnsi="Times New Roman" w:cs="Times New Roman"/>
          <w:b/>
          <w:bCs/>
          <w:sz w:val="24"/>
          <w:szCs w:val="24"/>
        </w:rPr>
        <w:t xml:space="preserve">action to support </w:t>
      </w:r>
      <w:r w:rsidRPr="00516A53">
        <w:rPr>
          <w:rFonts w:ascii="Times New Roman" w:hAnsi="Times New Roman" w:cs="Times New Roman"/>
          <w:b/>
          <w:bCs/>
          <w:sz w:val="24"/>
          <w:szCs w:val="24"/>
        </w:rPr>
        <w:t>the ASEAN Econo</w:t>
      </w:r>
      <w:r w:rsidR="00012690" w:rsidRPr="00516A53">
        <w:rPr>
          <w:rFonts w:ascii="Times New Roman" w:hAnsi="Times New Roman" w:cs="Times New Roman"/>
          <w:b/>
          <w:bCs/>
          <w:sz w:val="24"/>
          <w:szCs w:val="24"/>
        </w:rPr>
        <w:t>mic Community Blueprint’s sustainable growth agenda.</w:t>
      </w:r>
      <w:r w:rsidRPr="00516A53">
        <w:rPr>
          <w:rFonts w:ascii="Times New Roman" w:hAnsi="Times New Roman" w:cs="Times New Roman"/>
          <w:b/>
          <w:bCs/>
          <w:sz w:val="24"/>
          <w:szCs w:val="24"/>
        </w:rPr>
        <w:t xml:space="preserve"> </w:t>
      </w:r>
      <w:r w:rsidRPr="00516A53">
        <w:rPr>
          <w:rFonts w:ascii="Times New Roman" w:hAnsi="Times New Roman" w:cs="Times New Roman"/>
          <w:sz w:val="24"/>
          <w:szCs w:val="24"/>
        </w:rPr>
        <w:t>Central banks and/or monetary authorities, in collaboration with other ASEAN</w:t>
      </w:r>
      <w:r w:rsidR="009B3566" w:rsidRPr="00516A53">
        <w:rPr>
          <w:rFonts w:ascii="Times New Roman" w:hAnsi="Times New Roman" w:cs="Times New Roman"/>
          <w:sz w:val="24"/>
          <w:szCs w:val="24"/>
        </w:rPr>
        <w:t xml:space="preserve"> stakeholders</w:t>
      </w:r>
      <w:r w:rsidRPr="00516A53">
        <w:rPr>
          <w:rFonts w:ascii="Times New Roman" w:hAnsi="Times New Roman" w:cs="Times New Roman"/>
          <w:sz w:val="24"/>
          <w:szCs w:val="24"/>
        </w:rPr>
        <w:t xml:space="preserve">, may consider the development of a roadmap or an “ASEAN Green Map” which could be built on existing works of ASEAN sectoral bodies on sustainable </w:t>
      </w:r>
      <w:r w:rsidR="005F12FC" w:rsidRPr="00516A53">
        <w:rPr>
          <w:rFonts w:ascii="Times New Roman" w:hAnsi="Times New Roman" w:cs="Times New Roman"/>
          <w:sz w:val="24"/>
          <w:szCs w:val="24"/>
        </w:rPr>
        <w:t>f</w:t>
      </w:r>
      <w:r w:rsidRPr="00516A53">
        <w:rPr>
          <w:rFonts w:ascii="Times New Roman" w:hAnsi="Times New Roman" w:cs="Times New Roman"/>
          <w:sz w:val="24"/>
          <w:szCs w:val="24"/>
        </w:rPr>
        <w:t xml:space="preserve">inance to ensure comprehensive and unified efforts in greening the financial system at the regional level. </w:t>
      </w:r>
    </w:p>
    <w:p w14:paraId="6ABD43D5" w14:textId="43507398" w:rsidR="00012690" w:rsidRPr="00516A53" w:rsidRDefault="00050D42" w:rsidP="005F12FC">
      <w:pPr>
        <w:pStyle w:val="ListParagraph"/>
        <w:numPr>
          <w:ilvl w:val="0"/>
          <w:numId w:val="1"/>
        </w:numPr>
        <w:spacing w:line="360" w:lineRule="auto"/>
        <w:contextualSpacing w:val="0"/>
        <w:jc w:val="both"/>
        <w:rPr>
          <w:rFonts w:ascii="Times New Roman" w:hAnsi="Times New Roman" w:cs="Times New Roman"/>
          <w:sz w:val="24"/>
          <w:szCs w:val="24"/>
        </w:rPr>
      </w:pPr>
      <w:r w:rsidRPr="00516A53">
        <w:rPr>
          <w:rFonts w:ascii="Times New Roman" w:hAnsi="Times New Roman" w:cs="Times New Roman"/>
          <w:b/>
          <w:bCs/>
          <w:sz w:val="24"/>
          <w:szCs w:val="24"/>
        </w:rPr>
        <w:t xml:space="preserve">Communicate </w:t>
      </w:r>
      <w:r w:rsidR="00012690" w:rsidRPr="00516A53">
        <w:rPr>
          <w:rFonts w:ascii="Times New Roman" w:hAnsi="Times New Roman" w:cs="Times New Roman"/>
          <w:b/>
          <w:bCs/>
          <w:sz w:val="24"/>
          <w:szCs w:val="24"/>
        </w:rPr>
        <w:t xml:space="preserve">ASEAN’s common </w:t>
      </w:r>
      <w:r w:rsidRPr="00516A53">
        <w:rPr>
          <w:rFonts w:ascii="Times New Roman" w:hAnsi="Times New Roman" w:cs="Times New Roman"/>
          <w:b/>
          <w:bCs/>
          <w:sz w:val="24"/>
          <w:szCs w:val="24"/>
        </w:rPr>
        <w:t>interests and unique circumstances, where appropriate,</w:t>
      </w:r>
      <w:r w:rsidR="00012690" w:rsidRPr="00516A53">
        <w:rPr>
          <w:rFonts w:ascii="Times New Roman" w:hAnsi="Times New Roman" w:cs="Times New Roman"/>
          <w:b/>
          <w:bCs/>
          <w:sz w:val="24"/>
          <w:szCs w:val="24"/>
        </w:rPr>
        <w:t xml:space="preserve"> at international platforms. </w:t>
      </w:r>
      <w:r w:rsidR="00012690" w:rsidRPr="00516A53">
        <w:rPr>
          <w:rFonts w:ascii="Times New Roman" w:hAnsi="Times New Roman" w:cs="Times New Roman"/>
          <w:sz w:val="24"/>
          <w:szCs w:val="24"/>
        </w:rPr>
        <w:t xml:space="preserve">Central banks and/or monetary authorities may use these platforms to </w:t>
      </w:r>
      <w:r w:rsidRPr="00516A53">
        <w:rPr>
          <w:rFonts w:ascii="Times New Roman" w:hAnsi="Times New Roman" w:cs="Times New Roman"/>
          <w:sz w:val="24"/>
          <w:szCs w:val="24"/>
        </w:rPr>
        <w:t xml:space="preserve">communicate ASEAN’s </w:t>
      </w:r>
      <w:r w:rsidR="00012690" w:rsidRPr="00516A53">
        <w:rPr>
          <w:rFonts w:ascii="Times New Roman" w:hAnsi="Times New Roman" w:cs="Times New Roman"/>
          <w:sz w:val="24"/>
          <w:szCs w:val="24"/>
        </w:rPr>
        <w:t xml:space="preserve">common </w:t>
      </w:r>
      <w:r w:rsidRPr="00516A53">
        <w:rPr>
          <w:rFonts w:ascii="Times New Roman" w:hAnsi="Times New Roman" w:cs="Times New Roman"/>
          <w:sz w:val="24"/>
          <w:szCs w:val="24"/>
        </w:rPr>
        <w:t>interests and circumstances</w:t>
      </w:r>
      <w:r w:rsidR="00012690" w:rsidRPr="00516A53">
        <w:rPr>
          <w:rFonts w:ascii="Times New Roman" w:hAnsi="Times New Roman" w:cs="Times New Roman"/>
          <w:sz w:val="24"/>
          <w:szCs w:val="24"/>
        </w:rPr>
        <w:t xml:space="preserve"> in climate-related policy discussions.</w:t>
      </w:r>
    </w:p>
    <w:p w14:paraId="122FE5C7" w14:textId="618F7CE0" w:rsidR="00CA0742" w:rsidRPr="00516A53" w:rsidRDefault="00CA0742" w:rsidP="00CA0742">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t xml:space="preserve">Develop frameworks to encourage banks to embed sustainability into their business practices. </w:t>
      </w:r>
      <w:r w:rsidRPr="00516A53">
        <w:rPr>
          <w:rFonts w:ascii="Times New Roman" w:hAnsi="Times New Roman" w:cs="Times New Roman"/>
          <w:sz w:val="24"/>
          <w:szCs w:val="24"/>
        </w:rPr>
        <w:t xml:space="preserve">Depending on readiness, central banks and/or monetary authorities may collectively explore the development of a common principle-based ASEAN-wide taxonomy and ASEAN Specific green lending principles to encourage the flow of capital towards environmentally sustainable activities. Central banks and/or monetary authorities may also explore the formulation of supervisory guidelines to support the banks in integrating climate and environment-related risks into their risk management framework. These guidelines may incorporate disclosure requirements for banks towards the promotion of transparency in this area. Moreover, central banks and/or monetary authorities may develop the corresponding supervisory approach and tools to consider such risks in the supervisory assessment framework. </w:t>
      </w:r>
    </w:p>
    <w:p w14:paraId="528EB21F" w14:textId="46A0F3E6" w:rsidR="00CA0742" w:rsidRPr="00516A53" w:rsidRDefault="009B3566" w:rsidP="00CA0742">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t xml:space="preserve">Promote the establishment of </w:t>
      </w:r>
      <w:r w:rsidR="00CA0742" w:rsidRPr="00516A53">
        <w:rPr>
          <w:rFonts w:ascii="Times New Roman" w:hAnsi="Times New Roman" w:cs="Times New Roman"/>
          <w:b/>
          <w:bCs/>
          <w:sz w:val="24"/>
          <w:szCs w:val="24"/>
        </w:rPr>
        <w:t>a data collection framework to properly monitor risk exposures and assess the vulnerability of the financial sector to climate and environmental-related risks.</w:t>
      </w:r>
      <w:r w:rsidR="00CA0742" w:rsidRPr="00516A53">
        <w:rPr>
          <w:rFonts w:ascii="Times New Roman" w:hAnsi="Times New Roman" w:cs="Times New Roman"/>
          <w:sz w:val="24"/>
          <w:szCs w:val="24"/>
        </w:rPr>
        <w:t xml:space="preserve"> Central banks and/or monetary authorities may collectively study the feasibility of </w:t>
      </w:r>
      <w:r w:rsidRPr="00516A53">
        <w:rPr>
          <w:rFonts w:ascii="Times New Roman" w:hAnsi="Times New Roman" w:cs="Times New Roman"/>
          <w:sz w:val="24"/>
          <w:szCs w:val="24"/>
        </w:rPr>
        <w:t xml:space="preserve">designing </w:t>
      </w:r>
      <w:r w:rsidR="00CA0742" w:rsidRPr="00516A53">
        <w:rPr>
          <w:rFonts w:ascii="Times New Roman" w:hAnsi="Times New Roman" w:cs="Times New Roman"/>
          <w:sz w:val="24"/>
          <w:szCs w:val="24"/>
        </w:rPr>
        <w:t xml:space="preserve">a data collection framework to enable the effective conduct of risk identification and monitoring, scenario analysis or stress testing. </w:t>
      </w:r>
    </w:p>
    <w:p w14:paraId="10E81D7F" w14:textId="12AA9720" w:rsidR="00F22A65" w:rsidRPr="00516A53" w:rsidRDefault="00CA0742" w:rsidP="00F22A65">
      <w:pPr>
        <w:pStyle w:val="ListParagraph"/>
        <w:numPr>
          <w:ilvl w:val="0"/>
          <w:numId w:val="1"/>
        </w:numPr>
        <w:spacing w:line="360" w:lineRule="auto"/>
        <w:contextualSpacing w:val="0"/>
        <w:jc w:val="thaiDistribute"/>
        <w:rPr>
          <w:rFonts w:ascii="Times New Roman" w:hAnsi="Times New Roman" w:cs="Times New Roman"/>
          <w:sz w:val="24"/>
          <w:szCs w:val="24"/>
        </w:rPr>
      </w:pPr>
      <w:r w:rsidRPr="00516A53">
        <w:rPr>
          <w:rFonts w:ascii="Times New Roman" w:hAnsi="Times New Roman" w:cs="Times New Roman"/>
          <w:b/>
          <w:bCs/>
          <w:sz w:val="24"/>
          <w:szCs w:val="24"/>
        </w:rPr>
        <w:t xml:space="preserve">Enhance capacity building </w:t>
      </w:r>
      <w:r w:rsidR="00553B4C" w:rsidRPr="00516A53">
        <w:rPr>
          <w:rFonts w:ascii="Times New Roman" w:hAnsi="Times New Roman" w:cs="Times New Roman"/>
          <w:b/>
          <w:bCs/>
          <w:sz w:val="24"/>
          <w:szCs w:val="24"/>
        </w:rPr>
        <w:t xml:space="preserve">and awareness of </w:t>
      </w:r>
      <w:r w:rsidRPr="00516A53">
        <w:rPr>
          <w:rFonts w:ascii="Times New Roman" w:hAnsi="Times New Roman" w:cs="Times New Roman"/>
          <w:b/>
          <w:bCs/>
          <w:sz w:val="24"/>
          <w:szCs w:val="24"/>
        </w:rPr>
        <w:t>central banks and/or monetary authorities and banks in relation to sustainable banking.</w:t>
      </w:r>
      <w:r w:rsidRPr="00516A53">
        <w:rPr>
          <w:rFonts w:ascii="Times New Roman" w:hAnsi="Times New Roman" w:cs="Times New Roman"/>
          <w:sz w:val="24"/>
          <w:szCs w:val="24"/>
        </w:rPr>
        <w:t xml:space="preserve"> Central banks and/or monetary authorities are encouraged to develop</w:t>
      </w:r>
      <w:r w:rsidR="00FD0BD8" w:rsidRPr="00516A53">
        <w:rPr>
          <w:rFonts w:ascii="Times New Roman" w:hAnsi="Times New Roman" w:cs="Times New Roman"/>
          <w:sz w:val="24"/>
          <w:szCs w:val="24"/>
        </w:rPr>
        <w:t>,</w:t>
      </w:r>
      <w:r w:rsidR="00AA7C6A" w:rsidRPr="00516A53">
        <w:rPr>
          <w:rFonts w:ascii="Times New Roman" w:hAnsi="Times New Roman" w:cs="Times New Roman"/>
          <w:sz w:val="24"/>
          <w:szCs w:val="24"/>
        </w:rPr>
        <w:t xml:space="preserve"> and support banks in developing</w:t>
      </w:r>
      <w:r w:rsidRPr="00516A53">
        <w:rPr>
          <w:rFonts w:ascii="Times New Roman" w:hAnsi="Times New Roman" w:cs="Times New Roman"/>
          <w:sz w:val="24"/>
          <w:szCs w:val="24"/>
        </w:rPr>
        <w:t xml:space="preserve"> </w:t>
      </w:r>
      <w:r w:rsidR="00FD0BD8" w:rsidRPr="00516A53">
        <w:rPr>
          <w:rFonts w:ascii="Times New Roman" w:hAnsi="Times New Roman" w:cs="Times New Roman"/>
          <w:sz w:val="24"/>
          <w:szCs w:val="24"/>
        </w:rPr>
        <w:t xml:space="preserve"> </w:t>
      </w:r>
      <w:r w:rsidR="00DD3991" w:rsidRPr="00516A53">
        <w:rPr>
          <w:rFonts w:ascii="Times New Roman" w:hAnsi="Times New Roman" w:cs="Times New Roman"/>
          <w:sz w:val="24"/>
          <w:szCs w:val="24"/>
        </w:rPr>
        <w:t xml:space="preserve">understanding and </w:t>
      </w:r>
      <w:r w:rsidR="009B3566" w:rsidRPr="00516A53">
        <w:rPr>
          <w:rFonts w:ascii="Times New Roman" w:hAnsi="Times New Roman" w:cs="Times New Roman"/>
          <w:sz w:val="24"/>
          <w:szCs w:val="24"/>
        </w:rPr>
        <w:t xml:space="preserve">building </w:t>
      </w:r>
      <w:r w:rsidRPr="00516A53">
        <w:rPr>
          <w:rFonts w:ascii="Times New Roman" w:hAnsi="Times New Roman" w:cs="Times New Roman"/>
          <w:sz w:val="24"/>
          <w:szCs w:val="24"/>
        </w:rPr>
        <w:t xml:space="preserve">technical expertise in areas of climate related scenario analysis, disclosure requirements and taxonomy, leveraging on collaboration with the ASEAN Steering Committee on Capacity Building, foreign development partners, climate scientists or academia to improve the assessment of climate and environment-related risks. </w:t>
      </w:r>
    </w:p>
    <w:p w14:paraId="581535DC" w14:textId="3A499223" w:rsidR="00F22A65" w:rsidRPr="00516A53" w:rsidRDefault="00F22A65" w:rsidP="00F22A65">
      <w:pPr>
        <w:pStyle w:val="ListParagraph"/>
        <w:spacing w:line="360" w:lineRule="auto"/>
        <w:ind w:left="0"/>
        <w:contextualSpacing w:val="0"/>
        <w:jc w:val="thaiDistribute"/>
        <w:rPr>
          <w:rStyle w:val="null"/>
          <w:rFonts w:ascii="Times New Roman" w:hAnsi="Times New Roman" w:cs="Times New Roman"/>
          <w:sz w:val="24"/>
          <w:szCs w:val="24"/>
        </w:rPr>
      </w:pPr>
      <w:r w:rsidRPr="00516A53">
        <w:rPr>
          <w:rFonts w:ascii="Times New Roman" w:hAnsi="Times New Roman" w:cs="Times New Roman"/>
          <w:sz w:val="24"/>
          <w:szCs w:val="24"/>
        </w:rPr>
        <w:lastRenderedPageBreak/>
        <w:t xml:space="preserve">As part of </w:t>
      </w:r>
      <w:r w:rsidRPr="00516A53">
        <w:rPr>
          <w:rStyle w:val="null"/>
          <w:rFonts w:ascii="Times New Roman" w:hAnsi="Times New Roman" w:cs="Times New Roman"/>
          <w:bCs/>
          <w:color w:val="000000" w:themeColor="text1"/>
          <w:sz w:val="24"/>
          <w:szCs w:val="24"/>
        </w:rPr>
        <w:t>the Agenda on Sustainable Banking, ASEAN Central Banks have also</w:t>
      </w:r>
      <w:r w:rsidRPr="00516A53">
        <w:rPr>
          <w:rStyle w:val="null"/>
          <w:rFonts w:ascii="Times New Roman" w:hAnsi="Times New Roman" w:cs="Times New Roman"/>
          <w:b/>
          <w:bCs/>
          <w:color w:val="000000" w:themeColor="text1"/>
          <w:sz w:val="24"/>
          <w:szCs w:val="24"/>
        </w:rPr>
        <w:t xml:space="preserve"> </w:t>
      </w:r>
      <w:r w:rsidRPr="00516A53">
        <w:rPr>
          <w:rFonts w:ascii="Times New Roman" w:hAnsi="Times New Roman" w:cs="Times New Roman"/>
          <w:sz w:val="24"/>
          <w:szCs w:val="24"/>
        </w:rPr>
        <w:t xml:space="preserve">agreed to </w:t>
      </w:r>
      <w:r w:rsidRPr="00516A53">
        <w:rPr>
          <w:rFonts w:ascii="Times New Roman" w:hAnsi="Times New Roman" w:cs="Times New Roman"/>
          <w:color w:val="000000" w:themeColor="text1"/>
          <w:sz w:val="24"/>
          <w:szCs w:val="24"/>
        </w:rPr>
        <w:t xml:space="preserve">work towards </w:t>
      </w:r>
      <w:r w:rsidRPr="00516A53">
        <w:rPr>
          <w:rStyle w:val="null"/>
          <w:rFonts w:ascii="Times New Roman" w:hAnsi="Times New Roman" w:cs="Times New Roman"/>
          <w:b/>
          <w:bCs/>
          <w:color w:val="000000" w:themeColor="text1"/>
          <w:sz w:val="24"/>
          <w:szCs w:val="24"/>
        </w:rPr>
        <w:t xml:space="preserve">ASEAN Sustainable Banking Principles </w:t>
      </w:r>
      <w:r w:rsidRPr="00516A53">
        <w:rPr>
          <w:rStyle w:val="null"/>
          <w:rFonts w:ascii="Times New Roman" w:hAnsi="Times New Roman" w:cs="Times New Roman"/>
          <w:bCs/>
          <w:color w:val="000000" w:themeColor="text1"/>
          <w:sz w:val="24"/>
          <w:szCs w:val="24"/>
        </w:rPr>
        <w:t>in 2020</w:t>
      </w:r>
      <w:r w:rsidRPr="00516A53">
        <w:rPr>
          <w:rStyle w:val="null"/>
          <w:rFonts w:ascii="Times New Roman" w:hAnsi="Times New Roman" w:cs="Times New Roman"/>
          <w:b/>
          <w:bCs/>
          <w:color w:val="000000" w:themeColor="text1"/>
          <w:sz w:val="24"/>
          <w:szCs w:val="24"/>
        </w:rPr>
        <w:t xml:space="preserve">. </w:t>
      </w:r>
      <w:r w:rsidRPr="00516A53">
        <w:rPr>
          <w:rFonts w:ascii="Times New Roman" w:hAnsi="Times New Roman" w:cs="Times New Roman"/>
          <w:sz w:val="24"/>
          <w:szCs w:val="24"/>
        </w:rPr>
        <w:t xml:space="preserve"> T</w:t>
      </w:r>
      <w:r w:rsidRPr="00516A53">
        <w:rPr>
          <w:rFonts w:ascii="Times New Roman" w:hAnsi="Times New Roman" w:cs="Times New Roman"/>
          <w:color w:val="000000" w:themeColor="text1"/>
          <w:sz w:val="24"/>
          <w:szCs w:val="24"/>
        </w:rPr>
        <w:t>he non-binding principles were proposed with an aim to guide ASEAN Central Banks’ future related policies and commitments to promote sustainable banking in the region.</w:t>
      </w:r>
    </w:p>
    <w:p w14:paraId="05BED955" w14:textId="77777777" w:rsidR="00CA0742" w:rsidRPr="00516A53" w:rsidRDefault="00CA0742" w:rsidP="00CA0742">
      <w:pPr>
        <w:spacing w:line="360" w:lineRule="auto"/>
        <w:jc w:val="thaiDistribute"/>
        <w:rPr>
          <w:rFonts w:ascii="Times New Roman" w:hAnsi="Times New Roman"/>
          <w:sz w:val="24"/>
          <w:szCs w:val="24"/>
          <w:cs/>
        </w:rPr>
      </w:pPr>
    </w:p>
    <w:p w14:paraId="0A8C9FA8" w14:textId="36C88939" w:rsidR="00244A87" w:rsidRPr="00F22A65" w:rsidRDefault="00516A53" w:rsidP="00CA0742">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2 October 2020</w:t>
      </w:r>
    </w:p>
    <w:sectPr w:rsidR="00244A87" w:rsidRPr="00F22A65" w:rsidSect="003D5F74">
      <w:footerReference w:type="default" r:id="rId8"/>
      <w:headerReference w:type="first" r:id="rId9"/>
      <w:pgSz w:w="11906" w:h="16838"/>
      <w:pgMar w:top="990" w:right="1440" w:bottom="720"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3F0B" w14:textId="77777777" w:rsidR="00D93F69" w:rsidRDefault="00D93F69" w:rsidP="00CA0742">
      <w:pPr>
        <w:spacing w:after="0" w:line="240" w:lineRule="auto"/>
      </w:pPr>
      <w:r>
        <w:separator/>
      </w:r>
    </w:p>
  </w:endnote>
  <w:endnote w:type="continuationSeparator" w:id="0">
    <w:p w14:paraId="269FB863" w14:textId="77777777" w:rsidR="00D93F69" w:rsidRDefault="00D93F69" w:rsidP="00CA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90449"/>
      <w:docPartObj>
        <w:docPartGallery w:val="Page Numbers (Bottom of Page)"/>
        <w:docPartUnique/>
      </w:docPartObj>
    </w:sdtPr>
    <w:sdtEndPr>
      <w:rPr>
        <w:rFonts w:ascii="Arial" w:hAnsi="Arial" w:cs="Arial"/>
        <w:noProof/>
        <w:sz w:val="16"/>
      </w:rPr>
    </w:sdtEndPr>
    <w:sdtContent>
      <w:p w14:paraId="64345639" w14:textId="0EFD5463" w:rsidR="003D5F74" w:rsidRPr="003D5F74" w:rsidRDefault="003D5F74">
        <w:pPr>
          <w:pStyle w:val="Footer"/>
          <w:jc w:val="center"/>
          <w:rPr>
            <w:rFonts w:ascii="Arial" w:hAnsi="Arial" w:cs="Arial"/>
            <w:sz w:val="16"/>
          </w:rPr>
        </w:pPr>
        <w:r w:rsidRPr="003D5F74">
          <w:rPr>
            <w:rFonts w:ascii="Arial" w:hAnsi="Arial" w:cs="Arial"/>
            <w:sz w:val="16"/>
          </w:rPr>
          <w:fldChar w:fldCharType="begin"/>
        </w:r>
        <w:r w:rsidRPr="003D5F74">
          <w:rPr>
            <w:rFonts w:ascii="Arial" w:hAnsi="Arial" w:cs="Arial"/>
            <w:sz w:val="16"/>
          </w:rPr>
          <w:instrText xml:space="preserve"> PAGE   \* MERGEFORMAT </w:instrText>
        </w:r>
        <w:r w:rsidRPr="003D5F74">
          <w:rPr>
            <w:rFonts w:ascii="Arial" w:hAnsi="Arial" w:cs="Arial"/>
            <w:sz w:val="16"/>
          </w:rPr>
          <w:fldChar w:fldCharType="separate"/>
        </w:r>
        <w:r w:rsidR="00796B99">
          <w:rPr>
            <w:rFonts w:ascii="Arial" w:hAnsi="Arial" w:cs="Arial"/>
            <w:noProof/>
            <w:sz w:val="16"/>
          </w:rPr>
          <w:t>2</w:t>
        </w:r>
        <w:r w:rsidRPr="003D5F74">
          <w:rPr>
            <w:rFonts w:ascii="Arial" w:hAnsi="Arial" w:cs="Arial"/>
            <w:noProof/>
            <w:sz w:val="16"/>
          </w:rPr>
          <w:fldChar w:fldCharType="end"/>
        </w:r>
      </w:p>
    </w:sdtContent>
  </w:sdt>
  <w:p w14:paraId="3EAE59E7" w14:textId="77777777" w:rsidR="003D5F74" w:rsidRDefault="003D5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15B5" w14:textId="77777777" w:rsidR="00D93F69" w:rsidRDefault="00D93F69" w:rsidP="00CA0742">
      <w:pPr>
        <w:spacing w:after="0" w:line="240" w:lineRule="auto"/>
      </w:pPr>
      <w:r>
        <w:separator/>
      </w:r>
    </w:p>
  </w:footnote>
  <w:footnote w:type="continuationSeparator" w:id="0">
    <w:p w14:paraId="5F62F8D7" w14:textId="77777777" w:rsidR="00D93F69" w:rsidRDefault="00D93F69" w:rsidP="00CA0742">
      <w:pPr>
        <w:spacing w:after="0" w:line="240" w:lineRule="auto"/>
      </w:pPr>
      <w:r>
        <w:continuationSeparator/>
      </w:r>
    </w:p>
  </w:footnote>
  <w:footnote w:id="1">
    <w:p w14:paraId="58D43EC2" w14:textId="7DF9F74F" w:rsidR="00E51763" w:rsidRPr="00EF3F58" w:rsidRDefault="00E51763" w:rsidP="005F12FC">
      <w:pPr>
        <w:pStyle w:val="FootnoteText"/>
        <w:jc w:val="both"/>
        <w:rPr>
          <w:rFonts w:ascii="Times New Roman" w:hAnsi="Times New Roman" w:cs="Times New Roman"/>
          <w:szCs w:val="20"/>
          <w:lang w:val="en-US"/>
        </w:rPr>
      </w:pPr>
      <w:r w:rsidRPr="00EF3F58">
        <w:rPr>
          <w:rStyle w:val="FootnoteReference"/>
          <w:rFonts w:ascii="Times New Roman" w:hAnsi="Times New Roman" w:cs="Times New Roman"/>
          <w:sz w:val="20"/>
          <w:szCs w:val="20"/>
        </w:rPr>
        <w:footnoteRef/>
      </w:r>
      <w:r w:rsidR="00223149">
        <w:rPr>
          <w:rFonts w:ascii="Times New Roman" w:hAnsi="Times New Roman" w:cs="Times New Roman"/>
          <w:szCs w:val="20"/>
          <w:lang w:val="en-US"/>
        </w:rPr>
        <w:t xml:space="preserve"> </w:t>
      </w:r>
      <w:r w:rsidR="00570D71" w:rsidRPr="00525907">
        <w:rPr>
          <w:rFonts w:ascii="Times New Roman" w:hAnsi="Times New Roman" w:cs="Times New Roman"/>
          <w:szCs w:val="20"/>
          <w:lang w:val="en-US"/>
        </w:rPr>
        <w:t>This statement focuses on the climate and environmental aspects of sustainable banking. The sustainable banking agenda constitutes part of wider on-going regional sustainability efforts under the ambit of ASEAN finance ministers and central bank governors track</w:t>
      </w:r>
      <w:r w:rsidRPr="00EF3F58">
        <w:rPr>
          <w:rFonts w:ascii="Times New Roman" w:hAnsi="Times New Roman" w:cs="Times New Roman"/>
          <w:szCs w:val="20"/>
          <w:lang w:val="en-US"/>
        </w:rPr>
        <w:t>.</w:t>
      </w:r>
    </w:p>
  </w:footnote>
  <w:footnote w:id="2">
    <w:p w14:paraId="61787131" w14:textId="77777777" w:rsidR="00EF3F58" w:rsidRPr="00EF3F58" w:rsidRDefault="00EF3F58" w:rsidP="005F12FC">
      <w:pPr>
        <w:pStyle w:val="FootnoteText"/>
        <w:jc w:val="both"/>
        <w:rPr>
          <w:lang w:val="en-US"/>
        </w:rPr>
      </w:pPr>
      <w:r w:rsidRPr="00EF3F58">
        <w:rPr>
          <w:rStyle w:val="FootnoteReference"/>
          <w:rFonts w:ascii="Times New Roman" w:hAnsi="Times New Roman" w:cs="Times New Roman"/>
          <w:sz w:val="20"/>
          <w:szCs w:val="20"/>
        </w:rPr>
        <w:footnoteRef/>
      </w:r>
      <w:r w:rsidRPr="00EF3F58">
        <w:rPr>
          <w:rFonts w:ascii="Times New Roman" w:hAnsi="Times New Roman" w:cs="Times New Roman"/>
          <w:szCs w:val="20"/>
        </w:rPr>
        <w:t xml:space="preserve"> </w:t>
      </w:r>
      <w:r w:rsidRPr="00EF3F58">
        <w:rPr>
          <w:rFonts w:ascii="Times New Roman" w:hAnsi="Times New Roman" w:cs="Times New Roman"/>
          <w:szCs w:val="20"/>
          <w:lang w:val="en-US"/>
        </w:rPr>
        <w:t>There are seven non-binding recommendations put forth in the Report of the Task Force on the Roles of ASEAN Central Banks in Managing Climate and Environment-related Risks.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BD70" w14:textId="2DAB6DF9" w:rsidR="00413520" w:rsidRPr="00413520" w:rsidRDefault="00413520" w:rsidP="00413520">
    <w:pPr>
      <w:pStyle w:val="Header"/>
      <w:jc w:val="right"/>
      <w:rPr>
        <w:i/>
      </w:rPr>
    </w:pPr>
    <w:r w:rsidRPr="00413520">
      <w:rPr>
        <w:i/>
      </w:rPr>
      <w:t>FINAL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C4A"/>
    <w:multiLevelType w:val="hybridMultilevel"/>
    <w:tmpl w:val="E8F21D1A"/>
    <w:lvl w:ilvl="0" w:tplc="DC1A5CA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67078"/>
    <w:multiLevelType w:val="hybridMultilevel"/>
    <w:tmpl w:val="F1AC0B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B22A6"/>
    <w:multiLevelType w:val="hybridMultilevel"/>
    <w:tmpl w:val="0C487FAE"/>
    <w:lvl w:ilvl="0" w:tplc="9C842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2"/>
    <w:rsid w:val="00012690"/>
    <w:rsid w:val="00050D42"/>
    <w:rsid w:val="000C5390"/>
    <w:rsid w:val="001119B4"/>
    <w:rsid w:val="001640EA"/>
    <w:rsid w:val="001B054F"/>
    <w:rsid w:val="00223149"/>
    <w:rsid w:val="00244A87"/>
    <w:rsid w:val="002C09B5"/>
    <w:rsid w:val="002D6695"/>
    <w:rsid w:val="0037236E"/>
    <w:rsid w:val="00391B02"/>
    <w:rsid w:val="003964EF"/>
    <w:rsid w:val="003D5F74"/>
    <w:rsid w:val="00413520"/>
    <w:rsid w:val="00480ED1"/>
    <w:rsid w:val="004826F3"/>
    <w:rsid w:val="00516A53"/>
    <w:rsid w:val="00523E30"/>
    <w:rsid w:val="00525907"/>
    <w:rsid w:val="00526BEF"/>
    <w:rsid w:val="00553B4C"/>
    <w:rsid w:val="00570D71"/>
    <w:rsid w:val="00577A8D"/>
    <w:rsid w:val="00580FB0"/>
    <w:rsid w:val="005D4B9F"/>
    <w:rsid w:val="005F12FC"/>
    <w:rsid w:val="00664679"/>
    <w:rsid w:val="00710E25"/>
    <w:rsid w:val="007272DC"/>
    <w:rsid w:val="00796B99"/>
    <w:rsid w:val="008201CD"/>
    <w:rsid w:val="00837D08"/>
    <w:rsid w:val="008C0AA2"/>
    <w:rsid w:val="009B3566"/>
    <w:rsid w:val="009D294A"/>
    <w:rsid w:val="00A07235"/>
    <w:rsid w:val="00A3665A"/>
    <w:rsid w:val="00A54BA5"/>
    <w:rsid w:val="00AA7C6A"/>
    <w:rsid w:val="00B612BE"/>
    <w:rsid w:val="00BB21AC"/>
    <w:rsid w:val="00CA0742"/>
    <w:rsid w:val="00CE5246"/>
    <w:rsid w:val="00D17FFD"/>
    <w:rsid w:val="00D212FE"/>
    <w:rsid w:val="00D31CA3"/>
    <w:rsid w:val="00D93F69"/>
    <w:rsid w:val="00DD3991"/>
    <w:rsid w:val="00E51763"/>
    <w:rsid w:val="00E94A6C"/>
    <w:rsid w:val="00EB5329"/>
    <w:rsid w:val="00EC7760"/>
    <w:rsid w:val="00EE0B9F"/>
    <w:rsid w:val="00EF3F58"/>
    <w:rsid w:val="00F22A65"/>
    <w:rsid w:val="00F50020"/>
    <w:rsid w:val="00FA01A4"/>
    <w:rsid w:val="00FA2EB0"/>
    <w:rsid w:val="00FD0B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E910"/>
  <w15:chartTrackingRefBased/>
  <w15:docId w15:val="{04AF4994-712B-4D9F-BECC-3191D74E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42"/>
    <w:pPr>
      <w:ind w:left="720"/>
      <w:contextualSpacing/>
    </w:pPr>
  </w:style>
  <w:style w:type="character" w:styleId="CommentReference">
    <w:name w:val="annotation reference"/>
    <w:basedOn w:val="DefaultParagraphFont"/>
    <w:uiPriority w:val="99"/>
    <w:semiHidden/>
    <w:unhideWhenUsed/>
    <w:rsid w:val="00E51763"/>
    <w:rPr>
      <w:sz w:val="16"/>
      <w:szCs w:val="18"/>
    </w:rPr>
  </w:style>
  <w:style w:type="paragraph" w:styleId="CommentText">
    <w:name w:val="annotation text"/>
    <w:basedOn w:val="Normal"/>
    <w:link w:val="CommentTextChar"/>
    <w:uiPriority w:val="99"/>
    <w:semiHidden/>
    <w:unhideWhenUsed/>
    <w:rsid w:val="00E51763"/>
    <w:pPr>
      <w:spacing w:line="240" w:lineRule="auto"/>
    </w:pPr>
    <w:rPr>
      <w:sz w:val="20"/>
      <w:szCs w:val="25"/>
    </w:rPr>
  </w:style>
  <w:style w:type="character" w:customStyle="1" w:styleId="CommentTextChar">
    <w:name w:val="Comment Text Char"/>
    <w:basedOn w:val="DefaultParagraphFont"/>
    <w:link w:val="CommentText"/>
    <w:uiPriority w:val="99"/>
    <w:semiHidden/>
    <w:rsid w:val="00E51763"/>
    <w:rPr>
      <w:sz w:val="20"/>
      <w:szCs w:val="25"/>
      <w:lang w:val="en-GB"/>
    </w:rPr>
  </w:style>
  <w:style w:type="paragraph" w:styleId="CommentSubject">
    <w:name w:val="annotation subject"/>
    <w:basedOn w:val="CommentText"/>
    <w:next w:val="CommentText"/>
    <w:link w:val="CommentSubjectChar"/>
    <w:uiPriority w:val="99"/>
    <w:semiHidden/>
    <w:unhideWhenUsed/>
    <w:rsid w:val="00E51763"/>
    <w:rPr>
      <w:b/>
      <w:bCs/>
    </w:rPr>
  </w:style>
  <w:style w:type="character" w:customStyle="1" w:styleId="CommentSubjectChar">
    <w:name w:val="Comment Subject Char"/>
    <w:basedOn w:val="CommentTextChar"/>
    <w:link w:val="CommentSubject"/>
    <w:uiPriority w:val="99"/>
    <w:semiHidden/>
    <w:rsid w:val="00E51763"/>
    <w:rPr>
      <w:b/>
      <w:bCs/>
      <w:sz w:val="20"/>
      <w:szCs w:val="25"/>
      <w:lang w:val="en-GB"/>
    </w:rPr>
  </w:style>
  <w:style w:type="paragraph" w:styleId="BalloonText">
    <w:name w:val="Balloon Text"/>
    <w:basedOn w:val="Normal"/>
    <w:link w:val="BalloonTextChar"/>
    <w:uiPriority w:val="99"/>
    <w:semiHidden/>
    <w:unhideWhenUsed/>
    <w:rsid w:val="00E5176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51763"/>
    <w:rPr>
      <w:rFonts w:ascii="Segoe UI" w:hAnsi="Segoe UI" w:cs="Angsana New"/>
      <w:sz w:val="18"/>
      <w:szCs w:val="22"/>
      <w:lang w:val="en-GB"/>
    </w:rPr>
  </w:style>
  <w:style w:type="paragraph" w:styleId="FootnoteText">
    <w:name w:val="footnote text"/>
    <w:basedOn w:val="Normal"/>
    <w:link w:val="FootnoteTextChar"/>
    <w:uiPriority w:val="99"/>
    <w:semiHidden/>
    <w:unhideWhenUsed/>
    <w:rsid w:val="00E5176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E51763"/>
    <w:rPr>
      <w:sz w:val="20"/>
      <w:szCs w:val="25"/>
      <w:lang w:val="en-GB"/>
    </w:rPr>
  </w:style>
  <w:style w:type="character" w:styleId="FootnoteReference">
    <w:name w:val="footnote reference"/>
    <w:basedOn w:val="DefaultParagraphFont"/>
    <w:uiPriority w:val="99"/>
    <w:semiHidden/>
    <w:unhideWhenUsed/>
    <w:rsid w:val="00E51763"/>
    <w:rPr>
      <w:sz w:val="32"/>
      <w:szCs w:val="32"/>
      <w:vertAlign w:val="superscript"/>
    </w:rPr>
  </w:style>
  <w:style w:type="paragraph" w:styleId="Header">
    <w:name w:val="header"/>
    <w:basedOn w:val="Normal"/>
    <w:link w:val="HeaderChar"/>
    <w:uiPriority w:val="99"/>
    <w:unhideWhenUsed/>
    <w:rsid w:val="00E94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6C"/>
    <w:rPr>
      <w:lang w:val="en-GB"/>
    </w:rPr>
  </w:style>
  <w:style w:type="paragraph" w:styleId="Footer">
    <w:name w:val="footer"/>
    <w:basedOn w:val="Normal"/>
    <w:link w:val="FooterChar"/>
    <w:uiPriority w:val="99"/>
    <w:unhideWhenUsed/>
    <w:rsid w:val="00E94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6C"/>
    <w:rPr>
      <w:lang w:val="en-GB"/>
    </w:rPr>
  </w:style>
  <w:style w:type="character" w:customStyle="1" w:styleId="null">
    <w:name w:val="null"/>
    <w:basedOn w:val="DefaultParagraphFont"/>
    <w:rsid w:val="00F22A65"/>
  </w:style>
  <w:style w:type="paragraph" w:styleId="Revision">
    <w:name w:val="Revision"/>
    <w:hidden/>
    <w:uiPriority w:val="99"/>
    <w:semiHidden/>
    <w:rsid w:val="00FD0BD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6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6C0D-E9F8-4202-880D-653D8339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กมลพร โรจนรัตนางกูร</dc:creator>
  <cp:keywords/>
  <dc:description/>
  <cp:lastModifiedBy>Microsoft User</cp:lastModifiedBy>
  <cp:revision>5</cp:revision>
  <cp:lastPrinted>2020-08-24T09:26:00Z</cp:lastPrinted>
  <dcterms:created xsi:type="dcterms:W3CDTF">2020-10-05T03:58:00Z</dcterms:created>
  <dcterms:modified xsi:type="dcterms:W3CDTF">2020-10-05T04:15:00Z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ef099a-7fa4-4e34-953d-f6f34188ebfd_Enabled">
    <vt:lpwstr>true</vt:lpwstr>
  </property>
  <property fmtid="{D5CDD505-2E9C-101B-9397-08002B2CF9AE}" pid="3" name="MSIP_Label_57ef099a-7fa4-4e34-953d-f6f34188ebfd_SetDate">
    <vt:lpwstr>2020-07-13T02:39:21Z</vt:lpwstr>
  </property>
  <property fmtid="{D5CDD505-2E9C-101B-9397-08002B2CF9AE}" pid="4" name="MSIP_Label_57ef099a-7fa4-4e34-953d-f6f34188ebfd_Method">
    <vt:lpwstr>Standard</vt:lpwstr>
  </property>
  <property fmtid="{D5CDD505-2E9C-101B-9397-08002B2CF9AE}" pid="5" name="MSIP_Label_57ef099a-7fa4-4e34-953d-f6f34188ebfd_Name">
    <vt:lpwstr>Internal</vt:lpwstr>
  </property>
  <property fmtid="{D5CDD505-2E9C-101B-9397-08002B2CF9AE}" pid="6" name="MSIP_Label_57ef099a-7fa4-4e34-953d-f6f34188ebfd_SiteId">
    <vt:lpwstr>db27cba9-535b-4797-bd0b-1b1d889f3898</vt:lpwstr>
  </property>
  <property fmtid="{D5CDD505-2E9C-101B-9397-08002B2CF9AE}" pid="7" name="MSIP_Label_57ef099a-7fa4-4e34-953d-f6f34188ebfd_ActionId">
    <vt:lpwstr>df4f9253-136e-499e-98ee-e5c7b80a4c35</vt:lpwstr>
  </property>
  <property fmtid="{D5CDD505-2E9C-101B-9397-08002B2CF9AE}" pid="8" name="MSIP_Label_57ef099a-7fa4-4e34-953d-f6f34188ebfd_ContentBits">
    <vt:lpwstr>0</vt:lpwstr>
  </property>
</Properties>
</file>